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odttf" ContentType="application/vnd.openxmlformats-officedocument.obfuscatedFont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Tytuł dokumentu</w:t>
      </w:r>
    </w:p>
    <w:p>
      <w:pPr>
        <w:spacing w:before="80" w:after="360"/>
        <w:pBdr>
          <w:bottom w:val="single" w:sz="18" w:space="6" w:color="E11D2E"/>
        </w:pBdr>
        <w:ind w:right="8107"/>
      </w:pPr>
    </w:p>
    <w:p>
      <w:pPr>
        <w:pStyle w:val="Subtitle"/>
      </w:pPr>
      <w:r>
        <w:t>Podtytuł, jedno zdanie o tym, co czytelnik tu znajdzie</w:t>
      </w:r>
    </w:p>
    <w:p>
      <w:pPr>
        <w:pStyle w:val="PRIMEQLegal"/>
      </w:pPr>
      <w:r>
        <w:t>Autor: Imię Nazwisko   ·   Wersja 0.1   ·   Miesiąc RRRR</w:t>
      </w:r>
    </w:p>
    <w:p>
      <w:pPr>
        <w:pStyle w:val="Heading2"/>
      </w:pPr>
      <w:r>
        <w:t>Nota prawna</w:t>
      </w:r>
    </w:p>
    <w:p>
      <w:pPr>
        <w:pStyle w:val="PRIMEQLegal"/>
      </w:pPr>
      <w:r>
        <w:t>PRIME Q jest projektem. Podmiot nie istnieje w formie prawnej i nie posiada zezwolenia Komisji Nadzoru Finansowego na wykonywanie działalności.</w:t>
      </w:r>
    </w:p>
    <w:p>
      <w:pPr>
        <w:pStyle w:val="PRIMEQLegal"/>
      </w:pPr>
      <w:r>
        <w:t>Ten dokument ma charakter wyłącznie informacyjny. Nie stanowi oferty w rozumieniu art. 66 Kodeksu cywilnego, zaproszenia do składania ofert, rekomendacji inwestycyjnej ani usługi doradztwa inwestycyjnego.</w:t>
      </w:r>
    </w:p>
    <w:p>
      <w:pPr>
        <w:pStyle w:val="PRIMEQLegal"/>
      </w:pPr>
      <w:r>
        <w:t>Nie publikujemy wyników historycznych ani symulowanych. Żadna liczba w tym dokumencie nie jest obietnicą wyniku.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247" w:right="1417" w:bottom="1134" w:left="141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nter">
    <w:charset w:val="00"/>
    <w:family w:val="swiss"/>
    <w:pitch w:val="variable"/>
    <w:embedRegular r:id="rId1" w:fontKey="{1C14FF62-7E1C-452F-90BC-A0DB16F10A73}" w:subsetted="0"/>
    <w:embedBold r:id="rId2" w:fontKey="{32619D3E-052A-4573-B9F0-4B6F88892596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071" w:val="right"/>
      </w:tabs>
      <w:pBdr>
        <w:top w:val="single" w:sz="6" w:space="6" w:color="E5E7EB"/>
      </w:pBdr>
    </w:pPr>
    <w:r>
      <w:rPr>
        <w:rFonts w:ascii="Inter" w:hAnsi="Inter"/>
        <w:color w:val="6B7280"/>
        <w:sz w:val="16"/>
      </w:rPr>
      <w:t>Nazwa dokumentu · Wersja · Data</w:t>
      <w:tab/>
    </w:r>
    <w:r>
      <w:rPr>
        <w:rFonts w:ascii="Inter" w:hAnsi="Inter"/>
        <w:color w:val="6B7280"/>
        <w:sz w:val="16"/>
      </w:rPr>
      <w:t xml:space="preserve">Strona </w:t>
    </w:r>
    <w:r>
      <w:rPr>
        <w:color w:val="6B7280"/>
        <w:sz w:val="16"/>
      </w:rPr>
      <w:fldChar w:fldCharType="begin"/>
      <w:instrText xml:space="preserve"> PAGE </w:instrText>
      <w:fldChar w:fldCharType="end"/>
    </w:r>
    <w:r>
      <w:rPr>
        <w:rFonts w:ascii="Inter" w:hAnsi="Inter"/>
        <w:color w:val="6B7280"/>
        <w:sz w:val="16"/>
      </w:rPr>
      <w:t xml:space="preserve"> z </w:t>
    </w:r>
    <w:r>
      <w:rPr>
        <w:color w:val="6B7280"/>
        <w:sz w:val="16"/>
      </w:rPr>
      <w:fldChar w:fldCharType="begin"/>
      <w:instrText xml:space="preserve"> NUMPAGES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6" w:space="6" w:color="E5E7EB"/>
      </w:pBdr>
    </w:pPr>
    <w:r>
      <w:drawing>
        <wp:inline xmlns:a="http://schemas.openxmlformats.org/drawingml/2006/main" xmlns:pic="http://schemas.openxmlformats.org/drawingml/2006/picture">
          <wp:extent cx="1080000" cy="2349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rime-q-wordmark-navy-120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49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01">
    <w:multiLevelType w:val="hybridMultilevel"/>
    <w:lvl w:ilvl="0">
      <w:start w:val="1"/>
      <w:numFmt w:val="bullet"/>
      <w:lvlText w:val="/"/>
      <w:lvlJc w:val="left"/>
      <w:pPr>
        <w:ind w:left="360" w:hanging="240"/>
      </w:pPr>
      <w:rPr>
        <w:rFonts w:ascii="Inter" w:hAnsi="Inter"/>
        <w:b w:val="1"/>
        <w:color w:val="E11D2E"/>
      </w:rPr>
    </w:lvl>
    <w:lvl w:ilvl="1">
      <w:start w:val="1"/>
      <w:numFmt w:val="bullet"/>
      <w:lvlText w:val="–"/>
      <w:lvlJc w:val="left"/>
      <w:pPr>
        <w:ind w:left="700" w:hanging="240"/>
      </w:pPr>
      <w:rPr>
        <w:rFonts w:ascii="Inter" w:hAnsi="Inter"/>
        <w:b w:val="0"/>
        <w:color w:val="6B7280"/>
      </w:rPr>
    </w:lvl>
    <w:lvl w:ilvl="2">
      <w:start w:val="1"/>
      <w:numFmt w:val="bullet"/>
      <w:lvlText w:val="–"/>
      <w:lvlJc w:val="left"/>
      <w:pPr>
        <w:ind w:left="1040" w:hanging="240"/>
      </w:pPr>
      <w:rPr>
        <w:rFonts w:ascii="Inter" w:hAnsi="Inter"/>
        <w:b w:val="0"/>
        <w:color w:val="6B7280"/>
      </w:rPr>
    </w:lvl>
  </w:abstractNum>
  <w:num w:numId="77">
    <w:abstractNumId w:val="9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 w:val="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0" w:line="348" w:lineRule="auto"/>
    </w:pPr>
    <w:rPr>
      <w:rFonts w:ascii="Inter" w:hAnsi="Inter" w:eastAsia="Inter" w:cs="Inter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/>
      <w:outlineLvl w:val="0"/>
      <w:pBdr>
        <w:bottom w:val="single" w:sz="6" w:space="6" w:color="E5E7EB"/>
      </w:pBdr>
    </w:pPr>
    <w:rPr>
      <w:rFonts w:asciiTheme="majorHAnsi" w:eastAsiaTheme="majorEastAsia" w:hAnsiTheme="majorHAnsi" w:cstheme="majorBidi" w:ascii="Inter" w:hAnsi="Inter"/>
      <w:b/>
      <w:bCs/>
      <w:color w:val="041E4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00" w:after="120"/>
      <w:outlineLvl w:val="1"/>
    </w:pPr>
    <w:rPr>
      <w:rFonts w:asciiTheme="majorHAnsi" w:eastAsiaTheme="majorEastAsia" w:hAnsiTheme="majorHAnsi" w:cstheme="majorBidi" w:ascii="Inter" w:hAnsi="Inter"/>
      <w:b/>
      <w:bCs/>
      <w:color w:val="041E4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80"/>
      <w:outlineLvl w:val="2"/>
    </w:pPr>
    <w:rPr>
      <w:rFonts w:asciiTheme="majorHAnsi" w:eastAsiaTheme="majorEastAsia" w:hAnsiTheme="majorHAnsi" w:cstheme="majorBidi" w:ascii="Inter" w:hAnsi="Inter"/>
      <w:b/>
      <w:bCs/>
      <w:color w:val="041E42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60" w:line="259" w:lineRule="auto" w:before="0"/>
      <w:contextualSpacing/>
    </w:pPr>
    <w:rPr>
      <w:rFonts w:asciiTheme="majorHAnsi" w:eastAsiaTheme="majorEastAsia" w:hAnsiTheme="majorHAnsi" w:cstheme="majorBidi" w:ascii="Inter" w:hAnsi="Inter"/>
      <w:b/>
      <w:color w:val="041E42"/>
      <w:spacing w:val="5"/>
      <w:kern w:val="28"/>
      <w:sz w:val="6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440"/>
    </w:pPr>
    <w:rPr>
      <w:rFonts w:asciiTheme="majorHAnsi" w:eastAsiaTheme="majorEastAsia" w:hAnsiTheme="majorHAnsi" w:cstheme="majorBidi" w:ascii="Inter" w:hAnsi="Inter"/>
      <w:b w:val="0"/>
      <w:i w:val="0"/>
      <w:iCs/>
      <w:color w:val="6B7280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20" w:line="348" w:lineRule="auto"/>
      <w:contextualSpacing/>
      <w:numPr>
        <w:ilvl w:val="0"/>
        <w:numId w:val="77"/>
      </w:numPr>
    </w:pPr>
    <w:rPr>
      <w:rFonts w:ascii="Inter" w:hAnsi="Inter"/>
      <w:color w:val="1F2937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00" w:after="280"/>
      <w:ind w:left="283"/>
      <w:pBdr>
        <w:left w:val="single" w:sz="18" w:space="6" w:color="E11D2E"/>
      </w:pBdr>
    </w:pPr>
    <w:rPr>
      <w:rFonts w:ascii="Inter" w:hAnsi="Inter"/>
      <w:i w:val="0"/>
      <w:iCs/>
      <w:color w:val="041E42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 w:before="120"/>
    </w:pPr>
    <w:rPr>
      <w:rFonts w:ascii="Inter" w:hAnsi="Inter"/>
      <w:b w:val="0"/>
      <w:bCs/>
      <w:i w:val="0"/>
      <w:color w:val="6B7280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RIMEQLead">
    <w:name w:val="PRIME Q Lead"/>
    <w:basedOn w:val="Normal"/>
    <w:pPr>
      <w:spacing w:after="320"/>
    </w:pPr>
    <w:rPr>
      <w:color w:val="6B7280"/>
      <w:sz w:val="25"/>
    </w:rPr>
  </w:style>
  <w:style w:type="paragraph" w:customStyle="1" w:styleId="PRIMEQLegal">
    <w:name w:val="PRIME Q Legal"/>
    <w:basedOn w:val="Normal"/>
    <w:pPr>
      <w:spacing w:line="324" w:lineRule="auto" w:after="120"/>
    </w:pPr>
    <w:rPr>
      <w:color w:val="6B7280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Inter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Inter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