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odttf" ContentType="application/vnd.openxmlformats-officedocument.obfuscatedFont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Tytuł dokumentu</w:t>
      </w:r>
    </w:p>
    <w:p>
      <w:pPr>
        <w:spacing w:before="80" w:after="360"/>
        <w:pBdr>
          <w:bottom w:val="single" w:sz="18" w:space="6" w:color="E11D2E"/>
        </w:pBdr>
        <w:ind w:right="8107"/>
      </w:pPr>
    </w:p>
    <w:p>
      <w:pPr>
        <w:pStyle w:val="Subtitle"/>
      </w:pPr>
      <w:r>
        <w:t>Podtytuł, jedno zdanie o tym, co czytelnik tu znajdzie</w:t>
      </w:r>
    </w:p>
    <w:p>
      <w:pPr>
        <w:pStyle w:val="PRIMEQLegal"/>
      </w:pPr>
      <w:r>
        <w:t>Autor: Imię Nazwisko   ·   Wersja 0.1   ·   Miesiąc RRRR</w:t>
      </w:r>
    </w:p>
    <w:p>
      <w:pPr>
        <w:pStyle w:val="Heading1"/>
      </w:pPr>
      <w:r>
        <w:t>Nagłówek pierwszego stopnia</w:t>
      </w:r>
    </w:p>
    <w:p>
      <w:pPr>
        <w:pStyle w:val="PRIMEQLead"/>
      </w:pPr>
      <w:r>
        <w:t>Akapit wprowadzający. Jest odrobinę większy od zwykłego tekstu i szary, więc oko łapie go pierwszy, zanim zejdzie do treści.</w:t>
      </w:r>
    </w:p>
    <w:p>
      <w:r>
        <w:t>Zwykły akapit. Pismo to Inter w rozmiarze 10,5 punktu, z interlinią 1,45 i odstępem pod akapitem zamiast wcięcia w pierwszym wierszu. Tekst nie jest justowany: przy polskich słowach justowanie rozstrzeliwuje wiersze.</w:t>
      </w:r>
    </w:p>
    <w:p>
      <w:pPr>
        <w:pStyle w:val="Heading2"/>
      </w:pPr>
      <w:r>
        <w:t>Nagłówek drugiego stopnia</w:t>
      </w:r>
    </w:p>
    <w:p>
      <w:pPr>
        <w:pStyle w:val="ListBullet"/>
      </w:pPr>
      <w:r>
        <w:t>Punktor jest ukośnikiem, tym samym, który przecina Q w znaku.</w:t>
      </w:r>
    </w:p>
    <w:p>
      <w:pPr>
        <w:pStyle w:val="ListBullet"/>
      </w:pPr>
      <w:r>
        <w:t>Czerwień pojawia się w dokumencie raz: w punktorze albo w jednym wyróżnieniu, nigdy jako tło akapitu.</w:t>
      </w:r>
    </w:p>
    <w:p>
      <w:pPr>
        <w:pStyle w:val="ListBullet"/>
      </w:pPr>
      <w:r>
        <w:t>Nagłówki są granatowe, tekst grafitowy, podpisy szare.</w:t>
      </w:r>
    </w:p>
    <w:p>
      <w:pPr>
        <w:pStyle w:val="Quote"/>
      </w:pPr>
      <w:r>
        <w:t>Jeśli akapit potrzebuje przypisu, żeby był zrozumiały, potrzebuje raczej przepisania.</w:t>
      </w:r>
    </w:p>
    <w:p>
      <w:pPr>
        <w:pStyle w:val="Heading2"/>
      </w:pPr>
      <w:r>
        <w:t>Tabela</w:t>
      </w:r>
    </w:p>
    <w:tbl>
      <w:tblPr>
        <w:tblStyle w:val="TableGrid"/>
        <w:tblW w:type="auto" w:w="0"/>
        <w:tblLook w:firstColumn="1" w:firstRow="1" w:lastColumn="0" w:lastRow="0" w:noHBand="0" w:noVBand="1" w:val="04A0"/>
        <w:jc w:val="left"/>
        <w:tblBorders>
          <w:top w:val="single" w:sz="4" w:space="0" w:color="E5E7EB"/>
          <w:bottom w:val="single" w:sz="4" w:space="0" w:color="E5E7EB"/>
          <w:insideH w:val="single" w:sz="4" w:space="0" w:color="E5E7EB"/>
          <w:left w:val="none" w:sz="0" w:space="0" w:color="auto"/>
          <w:right w:val="none" w:sz="0" w:space="0" w:color="auto"/>
          <w:insideV w:val="none" w:sz="0" w:space="0" w:color="auto"/>
        </w:tblBorders>
      </w:tblPr>
      <w:tblGrid>
        <w:gridCol w:w="3024"/>
        <w:gridCol w:w="3024"/>
        <w:gridCol w:w="3024"/>
      </w:tblGrid>
      <w:tr>
        <w:tc>
          <w:tcPr>
            <w:tcW w:type="dxa" w:w="3024"/>
            <w:shd w:val="clear" w:fill="041E42"/>
          </w:tcPr>
          <w:p>
            <w:pPr>
              <w:spacing w:after="40" w:before="40" w:line="288" w:lineRule="auto"/>
            </w:pPr>
            <w:r/>
            <w:r>
              <w:rPr>
                <w:rFonts w:ascii="Inter" w:hAnsi="Inter"/>
                <w:b/>
                <w:color w:val="FFFFFF"/>
                <w:sz w:val="19"/>
              </w:rPr>
              <w:t>Element</w:t>
            </w:r>
          </w:p>
        </w:tc>
        <w:tc>
          <w:tcPr>
            <w:tcW w:type="dxa" w:w="3024"/>
            <w:shd w:val="clear" w:fill="041E42"/>
          </w:tcPr>
          <w:p>
            <w:pPr>
              <w:spacing w:after="40" w:before="40" w:line="288" w:lineRule="auto"/>
            </w:pPr>
            <w:r/>
            <w:r>
              <w:rPr>
                <w:rFonts w:ascii="Inter" w:hAnsi="Inter"/>
                <w:b/>
                <w:color w:val="FFFFFF"/>
                <w:sz w:val="19"/>
              </w:rPr>
              <w:t>Styl</w:t>
            </w:r>
          </w:p>
        </w:tc>
        <w:tc>
          <w:tcPr>
            <w:tcW w:type="dxa" w:w="3024"/>
            <w:shd w:val="clear" w:fill="041E42"/>
          </w:tcPr>
          <w:p>
            <w:pPr>
              <w:spacing w:after="40" w:before="40" w:line="288" w:lineRule="auto"/>
            </w:pPr>
            <w:r/>
            <w:r>
              <w:rPr>
                <w:rFonts w:ascii="Inter" w:hAnsi="Inter"/>
                <w:b/>
                <w:color w:val="FFFFFF"/>
                <w:sz w:val="19"/>
              </w:rPr>
              <w:t>Zastosowanie</w:t>
            </w:r>
          </w:p>
        </w:tc>
      </w:tr>
      <w:tr>
        <w:tc>
          <w:tcPr>
            <w:tcW w:type="dxa" w:w="3024"/>
          </w:tcPr>
          <w:p>
            <w:pPr>
              <w:spacing w:after="40" w:before="40" w:line="288" w:lineRule="auto"/>
            </w:pPr>
            <w:r/>
            <w:r>
              <w:rPr>
                <w:rFonts w:ascii="Inter" w:hAnsi="Inter"/>
                <w:b w:val="0"/>
                <w:color w:val="1F2937"/>
                <w:sz w:val="19"/>
              </w:rPr>
              <w:t>Nagłówek tabeli</w:t>
            </w:r>
          </w:p>
        </w:tc>
        <w:tc>
          <w:tcPr>
            <w:tcW w:type="dxa" w:w="3024"/>
          </w:tcPr>
          <w:p>
            <w:pPr>
              <w:spacing w:after="40" w:before="40" w:line="288" w:lineRule="auto"/>
            </w:pPr>
            <w:r/>
            <w:r>
              <w:rPr>
                <w:rFonts w:ascii="Inter" w:hAnsi="Inter"/>
                <w:b w:val="0"/>
                <w:color w:val="1F2937"/>
                <w:sz w:val="19"/>
              </w:rPr>
              <w:t>PRIME Q Tabela</w:t>
            </w:r>
          </w:p>
        </w:tc>
        <w:tc>
          <w:tcPr>
            <w:tcW w:type="dxa" w:w="3024"/>
          </w:tcPr>
          <w:p>
            <w:pPr>
              <w:spacing w:after="40" w:before="40" w:line="288" w:lineRule="auto"/>
            </w:pPr>
            <w:r/>
            <w:r>
              <w:rPr>
                <w:rFonts w:ascii="Inter" w:hAnsi="Inter"/>
                <w:b w:val="0"/>
                <w:color w:val="1F2937"/>
                <w:sz w:val="19"/>
              </w:rPr>
              <w:t>Wiersz tytułowy, granat i biel</w:t>
            </w:r>
          </w:p>
        </w:tc>
      </w:tr>
      <w:tr>
        <w:tc>
          <w:tcPr>
            <w:tcW w:type="dxa" w:w="3024"/>
          </w:tcPr>
          <w:p>
            <w:pPr>
              <w:spacing w:after="40" w:before="40" w:line="288" w:lineRule="auto"/>
            </w:pPr>
            <w:r/>
            <w:r>
              <w:rPr>
                <w:rFonts w:ascii="Inter" w:hAnsi="Inter"/>
                <w:b w:val="0"/>
                <w:color w:val="1F2937"/>
                <w:sz w:val="19"/>
              </w:rPr>
              <w:t>Wiersz</w:t>
            </w:r>
          </w:p>
        </w:tc>
        <w:tc>
          <w:tcPr>
            <w:tcW w:type="dxa" w:w="3024"/>
          </w:tcPr>
          <w:p>
            <w:pPr>
              <w:spacing w:after="40" w:before="40" w:line="288" w:lineRule="auto"/>
            </w:pPr>
            <w:r/>
            <w:r>
              <w:rPr>
                <w:rFonts w:ascii="Inter" w:hAnsi="Inter"/>
                <w:b w:val="0"/>
                <w:color w:val="1F2937"/>
                <w:sz w:val="19"/>
              </w:rPr>
              <w:t>PRIME Q Tabela</w:t>
            </w:r>
          </w:p>
        </w:tc>
        <w:tc>
          <w:tcPr>
            <w:tcW w:type="dxa" w:w="3024"/>
          </w:tcPr>
          <w:p>
            <w:pPr>
              <w:spacing w:after="40" w:before="40" w:line="288" w:lineRule="auto"/>
            </w:pPr>
            <w:r/>
            <w:r>
              <w:rPr>
                <w:rFonts w:ascii="Inter" w:hAnsi="Inter"/>
                <w:b w:val="0"/>
                <w:color w:val="1F2937"/>
                <w:sz w:val="19"/>
              </w:rPr>
              <w:t>Linia pod wierszem, bez pionowych kresek</w:t>
            </w:r>
          </w:p>
        </w:tc>
      </w:tr>
      <w:tr>
        <w:tc>
          <w:tcPr>
            <w:tcW w:type="dxa" w:w="3024"/>
          </w:tcPr>
          <w:p>
            <w:pPr>
              <w:spacing w:after="40" w:before="40" w:line="288" w:lineRule="auto"/>
            </w:pPr>
            <w:r/>
            <w:r>
              <w:rPr>
                <w:rFonts w:ascii="Inter" w:hAnsi="Inter"/>
                <w:b w:val="0"/>
                <w:color w:val="1F2937"/>
                <w:sz w:val="19"/>
              </w:rPr>
              <w:t>Podpis</w:t>
            </w:r>
          </w:p>
        </w:tc>
        <w:tc>
          <w:tcPr>
            <w:tcW w:type="dxa" w:w="3024"/>
          </w:tcPr>
          <w:p>
            <w:pPr>
              <w:spacing w:after="40" w:before="40" w:line="288" w:lineRule="auto"/>
            </w:pPr>
            <w:r/>
            <w:r>
              <w:rPr>
                <w:rFonts w:ascii="Inter" w:hAnsi="Inter"/>
                <w:b w:val="0"/>
                <w:color w:val="1F2937"/>
                <w:sz w:val="19"/>
              </w:rPr>
              <w:t>Podpis</w:t>
            </w:r>
          </w:p>
        </w:tc>
        <w:tc>
          <w:tcPr>
            <w:tcW w:type="dxa" w:w="3024"/>
          </w:tcPr>
          <w:p>
            <w:pPr>
              <w:spacing w:after="40" w:before="40" w:line="288" w:lineRule="auto"/>
            </w:pPr>
            <w:r/>
            <w:r>
              <w:rPr>
                <w:rFonts w:ascii="Inter" w:hAnsi="Inter"/>
                <w:b w:val="0"/>
                <w:color w:val="1F2937"/>
                <w:sz w:val="19"/>
              </w:rPr>
              <w:t>Źródło danych, zawsze pod tabelą</w:t>
            </w:r>
          </w:p>
        </w:tc>
      </w:tr>
    </w:tbl>
    <w:p>
      <w:pPr>
        <w:pStyle w:val="Caption"/>
      </w:pPr>
      <w:r>
        <w:t>Tabela 1. Podpis idzie pod tabelą, nie nad nią. Tu podajesz źródło.</w:t>
      </w:r>
    </w:p>
    <w:p>
      <w:pPr>
        <w:pStyle w:val="Heading2"/>
      </w:pPr>
      <w:r>
        <w:t>Nota prawna</w:t>
      </w:r>
    </w:p>
    <w:p>
      <w:pPr>
        <w:pStyle w:val="PRIMEQLegal"/>
      </w:pPr>
      <w:r>
        <w:t>PRIME Q jest projektem. Podmiot nie istnieje w formie prawnej i nie posiada zezwolenia Komisji Nadzoru Finansowego na wykonywanie działalności.</w:t>
      </w:r>
    </w:p>
    <w:p>
      <w:pPr>
        <w:pStyle w:val="PRIMEQLegal"/>
      </w:pPr>
      <w:r>
        <w:t>Ten dokument ma charakter wyłącznie informacyjny. Nie stanowi oferty w rozumieniu art. 66 Kodeksu cywilnego, zaproszenia do składania ofert, rekomendacji inwestycyjnej ani usługi doradztwa inwestycyjnego.</w:t>
      </w:r>
    </w:p>
    <w:p>
      <w:pPr>
        <w:pStyle w:val="PRIMEQLegal"/>
      </w:pPr>
      <w:r>
        <w:t>Nie publikujemy wyników historycznych ani symulowanych. Żadna liczba w tym dokumencie nie jest obietnicą wyniku.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417" w:bottom="1134" w:left="1417" w:header="68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nter">
    <w:charset w:val="00"/>
    <w:family w:val="swiss"/>
    <w:pitch w:val="variable"/>
    <w:embedRegular r:id="rId1" w:fontKey="{C7E86E8C-68FC-4CC3-91D8-4587899767E3}" w:subsetted="0"/>
    <w:embedBold r:id="rId2" w:fontKey="{CC70DB1D-7205-41E3-8296-F5E5F9CAB158}" w:subsetted="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071" w:val="right"/>
      </w:tabs>
      <w:pBdr>
        <w:top w:val="single" w:sz="6" w:space="6" w:color="E5E7EB"/>
      </w:pBdr>
    </w:pPr>
    <w:r>
      <w:rPr>
        <w:rFonts w:ascii="Inter" w:hAnsi="Inter"/>
        <w:color w:val="6B7280"/>
        <w:sz w:val="16"/>
      </w:rPr>
      <w:t>Nazwa dokumentu · Wersja · Data</w:t>
      <w:tab/>
    </w:r>
    <w:r>
      <w:rPr>
        <w:rFonts w:ascii="Inter" w:hAnsi="Inter"/>
        <w:color w:val="6B7280"/>
        <w:sz w:val="16"/>
      </w:rPr>
      <w:t xml:space="preserve">Strona </w:t>
    </w:r>
    <w:r>
      <w:rPr>
        <w:color w:val="6B7280"/>
        <w:sz w:val="16"/>
      </w:rPr>
      <w:fldChar w:fldCharType="begin"/>
      <w:instrText xml:space="preserve"> PAGE </w:instrText>
      <w:fldChar w:fldCharType="end"/>
    </w:r>
    <w:r>
      <w:rPr>
        <w:rFonts w:ascii="Inter" w:hAnsi="Inter"/>
        <w:color w:val="6B7280"/>
        <w:sz w:val="16"/>
      </w:rPr>
      <w:t xml:space="preserve"> z </w:t>
    </w:r>
    <w:r>
      <w:rPr>
        <w:color w:val="6B7280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6" w:space="6" w:color="E5E7EB"/>
      </w:pBdr>
    </w:pPr>
    <w:r>
      <w:drawing>
        <wp:inline xmlns:a="http://schemas.openxmlformats.org/drawingml/2006/main" xmlns:pic="http://schemas.openxmlformats.org/drawingml/2006/picture">
          <wp:extent cx="1080000" cy="2349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ime-q-wordmark-navy-120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0000" cy="2349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01">
    <w:multiLevelType w:val="hybridMultilevel"/>
    <w:lvl w:ilvl="0">
      <w:start w:val="1"/>
      <w:numFmt w:val="bullet"/>
      <w:lvlText w:val="/"/>
      <w:lvlJc w:val="left"/>
      <w:pPr>
        <w:ind w:left="360" w:hanging="240"/>
      </w:pPr>
      <w:rPr>
        <w:rFonts w:ascii="Inter" w:hAnsi="Inter"/>
        <w:b w:val="1"/>
        <w:color w:val="E11D2E"/>
      </w:rPr>
    </w:lvl>
    <w:lvl w:ilvl="1">
      <w:start w:val="1"/>
      <w:numFmt w:val="bullet"/>
      <w:lvlText w:val="–"/>
      <w:lvlJc w:val="left"/>
      <w:pPr>
        <w:ind w:left="700" w:hanging="240"/>
      </w:pPr>
      <w:rPr>
        <w:rFonts w:ascii="Inter" w:hAnsi="Inter"/>
        <w:b w:val="0"/>
        <w:color w:val="6B7280"/>
      </w:rPr>
    </w:lvl>
    <w:lvl w:ilvl="2">
      <w:start w:val="1"/>
      <w:numFmt w:val="bullet"/>
      <w:lvlText w:val="–"/>
      <w:lvlJc w:val="left"/>
      <w:pPr>
        <w:ind w:left="1040" w:hanging="240"/>
      </w:pPr>
      <w:rPr>
        <w:rFonts w:ascii="Inter" w:hAnsi="Inter"/>
        <w:b w:val="0"/>
        <w:color w:val="6B7280"/>
      </w:rPr>
    </w:lvl>
  </w:abstractNum>
  <w:num w:numId="77">
    <w:abstractNumId w:val="9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 w:val="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48" w:lineRule="auto"/>
    </w:pPr>
    <w:rPr>
      <w:rFonts w:ascii="Inter" w:hAnsi="Inter" w:eastAsia="Inter" w:cs="Inter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520" w:after="160"/>
      <w:outlineLvl w:val="0"/>
      <w:pBdr>
        <w:bottom w:val="single" w:sz="6" w:space="6" w:color="E5E7EB"/>
      </w:pBdr>
    </w:pPr>
    <w:rPr>
      <w:rFonts w:asciiTheme="majorHAnsi" w:eastAsiaTheme="majorEastAsia" w:hAnsiTheme="majorHAnsi" w:cstheme="majorBidi" w:ascii="Inter" w:hAnsi="Inter"/>
      <w:b/>
      <w:bCs/>
      <w:color w:val="041E4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0" w:after="120"/>
      <w:outlineLvl w:val="1"/>
    </w:pPr>
    <w:rPr>
      <w:rFonts w:asciiTheme="majorHAnsi" w:eastAsiaTheme="majorEastAsia" w:hAnsiTheme="majorHAnsi" w:cstheme="majorBidi" w:ascii="Inter" w:hAnsi="Inter"/>
      <w:b/>
      <w:bCs/>
      <w:color w:val="041E42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80"/>
      <w:outlineLvl w:val="2"/>
    </w:pPr>
    <w:rPr>
      <w:rFonts w:asciiTheme="majorHAnsi" w:eastAsiaTheme="majorEastAsia" w:hAnsiTheme="majorHAnsi" w:cstheme="majorBidi" w:ascii="Inter" w:hAnsi="Inter"/>
      <w:b/>
      <w:bCs/>
      <w:color w:val="041E42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59" w:lineRule="auto" w:before="0"/>
      <w:contextualSpacing/>
    </w:pPr>
    <w:rPr>
      <w:rFonts w:asciiTheme="majorHAnsi" w:eastAsiaTheme="majorEastAsia" w:hAnsiTheme="majorHAnsi" w:cstheme="majorBidi" w:ascii="Inter" w:hAnsi="Inter"/>
      <w:b/>
      <w:color w:val="041E42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440"/>
    </w:pPr>
    <w:rPr>
      <w:rFonts w:asciiTheme="majorHAnsi" w:eastAsiaTheme="majorEastAsia" w:hAnsiTheme="majorHAnsi" w:cstheme="majorBidi" w:ascii="Inter" w:hAnsi="Inter"/>
      <w:b w:val="0"/>
      <w:i w:val="0"/>
      <w:iCs/>
      <w:color w:val="6B728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348" w:lineRule="auto"/>
      <w:contextualSpacing/>
      <w:numPr>
        <w:ilvl w:val="0"/>
        <w:numId w:val="77"/>
      </w:numPr>
    </w:pPr>
    <w:rPr>
      <w:rFonts w:ascii="Inter" w:hAnsi="Inter"/>
      <w:color w:val="1F2937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200" w:after="280"/>
      <w:ind w:left="283"/>
      <w:pBdr>
        <w:left w:val="single" w:sz="18" w:space="6" w:color="E11D2E"/>
      </w:pBdr>
    </w:pPr>
    <w:rPr>
      <w:rFonts w:ascii="Inter" w:hAnsi="Inter"/>
      <w:i w:val="0"/>
      <w:iCs/>
      <w:color w:val="041E42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before="120"/>
    </w:pPr>
    <w:rPr>
      <w:rFonts w:ascii="Inter" w:hAnsi="Inter"/>
      <w:b w:val="0"/>
      <w:bCs/>
      <w:i w:val="0"/>
      <w:color w:val="6B7280"/>
      <w:sz w:val="17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RIMEQLead">
    <w:name w:val="PRIME Q Lead"/>
    <w:basedOn w:val="Normal"/>
    <w:pPr>
      <w:spacing w:after="320"/>
    </w:pPr>
    <w:rPr>
      <w:color w:val="6B7280"/>
      <w:sz w:val="25"/>
    </w:rPr>
  </w:style>
  <w:style w:type="paragraph" w:customStyle="1" w:styleId="PRIMEQLegal">
    <w:name w:val="PRIME Q Legal"/>
    <w:basedOn w:val="Normal"/>
    <w:pPr>
      <w:spacing w:line="324" w:lineRule="auto" w:after="120"/>
    </w:pPr>
    <w:rPr>
      <w:color w:val="6B7280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Inter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Inter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