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odttf" ContentType="application/vnd.openxmlformats-officedocument.obfuscatedFont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Document title</w:t>
      </w:r>
    </w:p>
    <w:p>
      <w:pPr>
        <w:spacing w:before="80" w:after="360"/>
        <w:pBdr>
          <w:bottom w:val="single" w:sz="18" w:space="6" w:color="E11D2E"/>
        </w:pBdr>
        <w:ind w:right="8107"/>
      </w:pPr>
    </w:p>
    <w:p>
      <w:pPr>
        <w:pStyle w:val="Subtitle"/>
      </w:pPr>
      <w:r>
        <w:t>A subtitle: one sentence on what the reader will find here</w:t>
      </w:r>
    </w:p>
    <w:p>
      <w:pPr>
        <w:pStyle w:val="PRIMEQLegal"/>
      </w:pPr>
      <w:r>
        <w:t>Author: Presenter Name   ·   Version 0.1   ·   Month YYYY</w:t>
      </w:r>
    </w:p>
    <w:p>
      <w:pPr>
        <w:pStyle w:val="Heading2"/>
      </w:pPr>
      <w:r>
        <w:t>Legal notice</w:t>
      </w:r>
    </w:p>
    <w:p>
      <w:pPr>
        <w:pStyle w:val="PRIMEQLegal"/>
      </w:pPr>
      <w:r>
        <w:t>PRIME Q is a project. The entity does not exist in legal form and holds no permission from the Polish Financial Supervision Authority (KNF) to conduct regulated activity.</w:t>
      </w:r>
    </w:p>
    <w:p>
      <w:pPr>
        <w:pStyle w:val="PRIMEQLegal"/>
      </w:pPr>
      <w:r>
        <w:t>This document is for information only. It is not an offer, an invitation to treat, an investment recommendation or investment advice.</w:t>
      </w:r>
    </w:p>
    <w:p>
      <w:pPr>
        <w:pStyle w:val="PRIMEQLegal"/>
      </w:pPr>
      <w:r>
        <w:t>No historical or simulated performance is published. No figure in this document is a promise of a result.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247" w:right="1417" w:bottom="1134" w:left="141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Inter">
    <w:charset w:val="00"/>
    <w:family w:val="swiss"/>
    <w:pitch w:val="variable"/>
    <w:embedRegular r:id="rId1" w:fontKey="{C6631CF1-B148-4C0C-9A78-B3300EC6FE5F}" w:subsetted="0"/>
    <w:embedBold r:id="rId2" w:fontKey="{03194EAB-80FE-4FCA-94EE-900652387B3B}" w:subsetted="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071" w:val="right"/>
      </w:tabs>
      <w:pBdr>
        <w:top w:val="single" w:sz="6" w:space="6" w:color="E5E7EB"/>
      </w:pBdr>
    </w:pPr>
    <w:r>
      <w:rPr>
        <w:rFonts w:ascii="Inter" w:hAnsi="Inter"/>
        <w:color w:val="6B7280"/>
        <w:sz w:val="16"/>
      </w:rPr>
      <w:t>Document name · Version · Date</w:t>
      <w:tab/>
    </w:r>
    <w:r>
      <w:rPr>
        <w:rFonts w:ascii="Inter" w:hAnsi="Inter"/>
        <w:color w:val="6B7280"/>
        <w:sz w:val="16"/>
      </w:rPr>
      <w:t xml:space="preserve">Page </w:t>
    </w:r>
    <w:r>
      <w:rPr>
        <w:color w:val="6B7280"/>
        <w:sz w:val="16"/>
      </w:rPr>
      <w:fldChar w:fldCharType="begin"/>
      <w:instrText xml:space="preserve"> PAGE </w:instrText>
      <w:fldChar w:fldCharType="end"/>
    </w:r>
    <w:r>
      <w:rPr>
        <w:rFonts w:ascii="Inter" w:hAnsi="Inter"/>
        <w:color w:val="6B7280"/>
        <w:sz w:val="16"/>
      </w:rPr>
      <w:t xml:space="preserve"> of </w:t>
    </w:r>
    <w:r>
      <w:rPr>
        <w:color w:val="6B7280"/>
        <w:sz w:val="16"/>
      </w:rPr>
      <w:fldChar w:fldCharType="begin"/>
      <w:instrText xml:space="preserve"> NUMPAGES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6" w:space="6" w:color="E5E7EB"/>
      </w:pBdr>
    </w:pPr>
    <w:r>
      <w:drawing>
        <wp:inline xmlns:a="http://schemas.openxmlformats.org/drawingml/2006/main" xmlns:pic="http://schemas.openxmlformats.org/drawingml/2006/picture">
          <wp:extent cx="1080000" cy="2349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rime-q-wordmark-navy-120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49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01">
    <w:multiLevelType w:val="hybridMultilevel"/>
    <w:lvl w:ilvl="0">
      <w:start w:val="1"/>
      <w:numFmt w:val="bullet"/>
      <w:lvlText w:val="/"/>
      <w:lvlJc w:val="left"/>
      <w:pPr>
        <w:ind w:left="360" w:hanging="240"/>
      </w:pPr>
      <w:rPr>
        <w:rFonts w:ascii="Inter" w:hAnsi="Inter"/>
        <w:b w:val="1"/>
        <w:color w:val="E11D2E"/>
      </w:rPr>
    </w:lvl>
    <w:lvl w:ilvl="1">
      <w:start w:val="1"/>
      <w:numFmt w:val="bullet"/>
      <w:lvlText w:val="–"/>
      <w:lvlJc w:val="left"/>
      <w:pPr>
        <w:ind w:left="700" w:hanging="240"/>
      </w:pPr>
      <w:rPr>
        <w:rFonts w:ascii="Inter" w:hAnsi="Inter"/>
        <w:b w:val="0"/>
        <w:color w:val="6B7280"/>
      </w:rPr>
    </w:lvl>
    <w:lvl w:ilvl="2">
      <w:start w:val="1"/>
      <w:numFmt w:val="bullet"/>
      <w:lvlText w:val="–"/>
      <w:lvlJc w:val="left"/>
      <w:pPr>
        <w:ind w:left="1040" w:hanging="240"/>
      </w:pPr>
      <w:rPr>
        <w:rFonts w:ascii="Inter" w:hAnsi="Inter"/>
        <w:b w:val="0"/>
        <w:color w:val="6B7280"/>
      </w:rPr>
    </w:lvl>
  </w:abstractNum>
  <w:num w:numId="77">
    <w:abstractNumId w:val="9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embedTrueTypeFonts/>
  <w:saveSubsetFonts w:val="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200" w:line="348" w:lineRule="auto"/>
    </w:pPr>
    <w:rPr>
      <w:rFonts w:ascii="Inter" w:hAnsi="Inter" w:eastAsia="Inter" w:cs="Inter"/>
      <w:color w:val="1F2937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/>
      <w:outlineLvl w:val="0"/>
      <w:pBdr>
        <w:bottom w:val="single" w:sz="6" w:space="6" w:color="E5E7EB"/>
      </w:pBdr>
    </w:pPr>
    <w:rPr>
      <w:rFonts w:asciiTheme="majorHAnsi" w:eastAsiaTheme="majorEastAsia" w:hAnsiTheme="majorHAnsi" w:cstheme="majorBidi" w:ascii="Inter" w:hAnsi="Inter"/>
      <w:b/>
      <w:bCs/>
      <w:color w:val="041E4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400" w:after="120"/>
      <w:outlineLvl w:val="1"/>
    </w:pPr>
    <w:rPr>
      <w:rFonts w:asciiTheme="majorHAnsi" w:eastAsiaTheme="majorEastAsia" w:hAnsiTheme="majorHAnsi" w:cstheme="majorBidi" w:ascii="Inter" w:hAnsi="Inter"/>
      <w:b/>
      <w:bCs/>
      <w:color w:val="041E4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80"/>
      <w:outlineLvl w:val="2"/>
    </w:pPr>
    <w:rPr>
      <w:rFonts w:asciiTheme="majorHAnsi" w:eastAsiaTheme="majorEastAsia" w:hAnsiTheme="majorHAnsi" w:cstheme="majorBidi" w:ascii="Inter" w:hAnsi="Inter"/>
      <w:b/>
      <w:bCs/>
      <w:color w:val="041E42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160" w:line="259" w:lineRule="auto" w:before="0"/>
      <w:contextualSpacing/>
    </w:pPr>
    <w:rPr>
      <w:rFonts w:asciiTheme="majorHAnsi" w:eastAsiaTheme="majorEastAsia" w:hAnsiTheme="majorHAnsi" w:cstheme="majorBidi" w:ascii="Inter" w:hAnsi="Inter"/>
      <w:b/>
      <w:color w:val="041E42"/>
      <w:spacing w:val="5"/>
      <w:kern w:val="28"/>
      <w:sz w:val="6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440"/>
    </w:pPr>
    <w:rPr>
      <w:rFonts w:asciiTheme="majorHAnsi" w:eastAsiaTheme="majorEastAsia" w:hAnsiTheme="majorHAnsi" w:cstheme="majorBidi" w:ascii="Inter" w:hAnsi="Inter"/>
      <w:b w:val="0"/>
      <w:i w:val="0"/>
      <w:iCs/>
      <w:color w:val="6B7280"/>
      <w:spacing w:val="15"/>
      <w:sz w:val="26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20" w:line="348" w:lineRule="auto"/>
      <w:contextualSpacing/>
      <w:numPr>
        <w:ilvl w:val="0"/>
        <w:numId w:val="77"/>
      </w:numPr>
    </w:pPr>
    <w:rPr>
      <w:rFonts w:ascii="Inter" w:hAnsi="Inter"/>
      <w:color w:val="1F2937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00" w:after="280"/>
      <w:ind w:left="283"/>
      <w:pBdr>
        <w:left w:val="single" w:sz="18" w:space="6" w:color="E11D2E"/>
      </w:pBdr>
    </w:pPr>
    <w:rPr>
      <w:rFonts w:ascii="Inter" w:hAnsi="Inter"/>
      <w:i w:val="0"/>
      <w:iCs/>
      <w:color w:val="041E42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 w:before="120"/>
    </w:pPr>
    <w:rPr>
      <w:rFonts w:ascii="Inter" w:hAnsi="Inter"/>
      <w:b w:val="0"/>
      <w:bCs/>
      <w:i w:val="0"/>
      <w:color w:val="6B7280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RIMEQLead">
    <w:name w:val="PRIME Q Lead"/>
    <w:basedOn w:val="Normal"/>
    <w:pPr>
      <w:spacing w:after="320"/>
    </w:pPr>
    <w:rPr>
      <w:color w:val="6B7280"/>
      <w:sz w:val="25"/>
    </w:rPr>
  </w:style>
  <w:style w:type="paragraph" w:customStyle="1" w:styleId="PRIMEQLegal">
    <w:name w:val="PRIME Q Legal"/>
    <w:basedOn w:val="Normal"/>
    <w:pPr>
      <w:spacing w:line="324" w:lineRule="auto" w:after="120"/>
    </w:pPr>
    <w:rPr>
      <w:color w:val="6B7280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Inter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Inter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