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odttf" ContentType="application/vnd.openxmlformats-officedocument.obfuscatedFont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Document title</w:t>
      </w:r>
    </w:p>
    <w:p>
      <w:pPr>
        <w:spacing w:before="80" w:after="360"/>
        <w:pBdr>
          <w:bottom w:val="single" w:sz="18" w:space="6" w:color="E11D2E"/>
        </w:pBdr>
        <w:ind w:right="8107"/>
      </w:pPr>
    </w:p>
    <w:p>
      <w:pPr>
        <w:pStyle w:val="Subtitle"/>
      </w:pPr>
      <w:r>
        <w:t>A subtitle: one sentence on what the reader will find here</w:t>
      </w:r>
    </w:p>
    <w:p>
      <w:pPr>
        <w:pStyle w:val="PRIMEQLegal"/>
      </w:pPr>
      <w:r>
        <w:t>Author: Presenter Name   ·   Version 0.1   ·   Month YYYY</w:t>
      </w:r>
    </w:p>
    <w:p>
      <w:pPr>
        <w:pStyle w:val="Heading1"/>
      </w:pPr>
      <w:r>
        <w:t>A first-level heading</w:t>
      </w:r>
    </w:p>
    <w:p>
      <w:pPr>
        <w:pStyle w:val="PRIMEQLead"/>
      </w:pPr>
      <w:r>
        <w:t>The opening paragraph. It is set a little larger than body text and in grey, so the eye takes it first and then drops into the detail.</w:t>
      </w:r>
    </w:p>
    <w:p>
      <w:r>
        <w:t>An ordinary paragraph. The typeface is Inter at 10.5 point, leaded at 1.45, with space under the paragraph rather than an indent on its first line. Text is not justified.</w:t>
      </w:r>
    </w:p>
    <w:p>
      <w:pPr>
        <w:pStyle w:val="Heading2"/>
      </w:pPr>
      <w:r>
        <w:t>A second-level heading</w:t>
      </w:r>
    </w:p>
    <w:p>
      <w:pPr>
        <w:pStyle w:val="ListBullet"/>
      </w:pPr>
      <w:r>
        <w:t>The bullet is a slash, the same one that cuts through the Q.</w:t>
      </w:r>
    </w:p>
    <w:p>
      <w:pPr>
        <w:pStyle w:val="ListBullet"/>
      </w:pPr>
      <w:r>
        <w:t>Red appears once in a document: in the bullet or in a single highlight, never as the background of a paragraph.</w:t>
      </w:r>
    </w:p>
    <w:p>
      <w:pPr>
        <w:pStyle w:val="ListBullet"/>
      </w:pPr>
      <w:r>
        <w:t>Headings are navy, body text is graphite, captions are grey.</w:t>
      </w:r>
    </w:p>
    <w:p>
      <w:pPr>
        <w:pStyle w:val="Quote"/>
      </w:pPr>
      <w:r>
        <w:t>If a paragraph needs a footnote to be understood, what it needs is rewriting.</w:t>
      </w:r>
    </w:p>
    <w:p>
      <w:pPr>
        <w:pStyle w:val="Heading2"/>
      </w:pPr>
      <w:r>
        <w:t>Tables</w:t>
      </w:r>
    </w:p>
    <w:tbl>
      <w:tblPr>
        <w:tblStyle w:val="TableGrid"/>
        <w:tblW w:type="auto" w:w="0"/>
        <w:tblLook w:firstColumn="1" w:firstRow="1" w:lastColumn="0" w:lastRow="0" w:noHBand="0" w:noVBand="1" w:val="04A0"/>
        <w:jc w:val="left"/>
        <w:tblBorders>
          <w:top w:val="single" w:sz="4" w:space="0" w:color="E5E7EB"/>
          <w:bottom w:val="single" w:sz="4" w:space="0" w:color="E5E7EB"/>
          <w:insideH w:val="single" w:sz="4" w:space="0" w:color="E5E7EB"/>
          <w:left w:val="none" w:sz="0" w:space="0" w:color="auto"/>
          <w:right w:val="none" w:sz="0" w:space="0" w:color="auto"/>
          <w:insideV w:val="none" w:sz="0" w:space="0" w:color="auto"/>
        </w:tblBorders>
      </w:tblPr>
      <w:tblGrid>
        <w:gridCol w:w="3024"/>
        <w:gridCol w:w="3024"/>
        <w:gridCol w:w="3024"/>
      </w:tblGrid>
      <w:tr>
        <w:tc>
          <w:tcPr>
            <w:tcW w:type="dxa" w:w="3024"/>
            <w:shd w:val="clear" w:fill="041E42"/>
          </w:tcPr>
          <w:p>
            <w:pPr>
              <w:spacing w:after="40" w:before="40" w:line="288" w:lineRule="auto"/>
            </w:pPr>
            <w:r/>
            <w:r>
              <w:rPr>
                <w:rFonts w:ascii="Inter" w:hAnsi="Inter"/>
                <w:b/>
                <w:color w:val="FFFFFF"/>
                <w:sz w:val="19"/>
              </w:rPr>
              <w:t>Element</w:t>
            </w:r>
          </w:p>
        </w:tc>
        <w:tc>
          <w:tcPr>
            <w:tcW w:type="dxa" w:w="3024"/>
            <w:shd w:val="clear" w:fill="041E42"/>
          </w:tcPr>
          <w:p>
            <w:pPr>
              <w:spacing w:after="40" w:before="40" w:line="288" w:lineRule="auto"/>
            </w:pPr>
            <w:r/>
            <w:r>
              <w:rPr>
                <w:rFonts w:ascii="Inter" w:hAnsi="Inter"/>
                <w:b/>
                <w:color w:val="FFFFFF"/>
                <w:sz w:val="19"/>
              </w:rPr>
              <w:t>Style</w:t>
            </w:r>
          </w:p>
        </w:tc>
        <w:tc>
          <w:tcPr>
            <w:tcW w:type="dxa" w:w="3024"/>
            <w:shd w:val="clear" w:fill="041E42"/>
          </w:tcPr>
          <w:p>
            <w:pPr>
              <w:spacing w:after="40" w:before="40" w:line="288" w:lineRule="auto"/>
            </w:pPr>
            <w:r/>
            <w:r>
              <w:rPr>
                <w:rFonts w:ascii="Inter" w:hAnsi="Inter"/>
                <w:b/>
                <w:color w:val="FFFFFF"/>
                <w:sz w:val="19"/>
              </w:rPr>
              <w:t>Where it is used</w:t>
            </w:r>
          </w:p>
        </w:tc>
      </w:tr>
      <w:tr>
        <w:tc>
          <w:tcPr>
            <w:tcW w:type="dxa" w:w="3024"/>
          </w:tcPr>
          <w:p>
            <w:pPr>
              <w:spacing w:after="40" w:before="40" w:line="288" w:lineRule="auto"/>
            </w:pPr>
            <w:r/>
            <w:r>
              <w:rPr>
                <w:rFonts w:ascii="Inter" w:hAnsi="Inter"/>
                <w:b w:val="0"/>
                <w:color w:val="1F2937"/>
                <w:sz w:val="19"/>
              </w:rPr>
              <w:t>Table header</w:t>
            </w:r>
          </w:p>
        </w:tc>
        <w:tc>
          <w:tcPr>
            <w:tcW w:type="dxa" w:w="3024"/>
          </w:tcPr>
          <w:p>
            <w:pPr>
              <w:spacing w:after="40" w:before="40" w:line="288" w:lineRule="auto"/>
            </w:pPr>
            <w:r/>
            <w:r>
              <w:rPr>
                <w:rFonts w:ascii="Inter" w:hAnsi="Inter"/>
                <w:b w:val="0"/>
                <w:color w:val="1F2937"/>
                <w:sz w:val="19"/>
              </w:rPr>
              <w:t>PRIME Q Table</w:t>
            </w:r>
          </w:p>
        </w:tc>
        <w:tc>
          <w:tcPr>
            <w:tcW w:type="dxa" w:w="3024"/>
          </w:tcPr>
          <w:p>
            <w:pPr>
              <w:spacing w:after="40" w:before="40" w:line="288" w:lineRule="auto"/>
            </w:pPr>
            <w:r/>
            <w:r>
              <w:rPr>
                <w:rFonts w:ascii="Inter" w:hAnsi="Inter"/>
                <w:b w:val="0"/>
                <w:color w:val="1F2937"/>
                <w:sz w:val="19"/>
              </w:rPr>
              <w:t>The title row, navy and white</w:t>
            </w:r>
          </w:p>
        </w:tc>
      </w:tr>
      <w:tr>
        <w:tc>
          <w:tcPr>
            <w:tcW w:type="dxa" w:w="3024"/>
          </w:tcPr>
          <w:p>
            <w:pPr>
              <w:spacing w:after="40" w:before="40" w:line="288" w:lineRule="auto"/>
            </w:pPr>
            <w:r/>
            <w:r>
              <w:rPr>
                <w:rFonts w:ascii="Inter" w:hAnsi="Inter"/>
                <w:b w:val="0"/>
                <w:color w:val="1F2937"/>
                <w:sz w:val="19"/>
              </w:rPr>
              <w:t>Row</w:t>
            </w:r>
          </w:p>
        </w:tc>
        <w:tc>
          <w:tcPr>
            <w:tcW w:type="dxa" w:w="3024"/>
          </w:tcPr>
          <w:p>
            <w:pPr>
              <w:spacing w:after="40" w:before="40" w:line="288" w:lineRule="auto"/>
            </w:pPr>
            <w:r/>
            <w:r>
              <w:rPr>
                <w:rFonts w:ascii="Inter" w:hAnsi="Inter"/>
                <w:b w:val="0"/>
                <w:color w:val="1F2937"/>
                <w:sz w:val="19"/>
              </w:rPr>
              <w:t>PRIME Q Table</w:t>
            </w:r>
          </w:p>
        </w:tc>
        <w:tc>
          <w:tcPr>
            <w:tcW w:type="dxa" w:w="3024"/>
          </w:tcPr>
          <w:p>
            <w:pPr>
              <w:spacing w:after="40" w:before="40" w:line="288" w:lineRule="auto"/>
            </w:pPr>
            <w:r/>
            <w:r>
              <w:rPr>
                <w:rFonts w:ascii="Inter" w:hAnsi="Inter"/>
                <w:b w:val="0"/>
                <w:color w:val="1F2937"/>
                <w:sz w:val="19"/>
              </w:rPr>
              <w:t>A rule under the row, no vertical lines</w:t>
            </w:r>
          </w:p>
        </w:tc>
      </w:tr>
      <w:tr>
        <w:tc>
          <w:tcPr>
            <w:tcW w:type="dxa" w:w="3024"/>
          </w:tcPr>
          <w:p>
            <w:pPr>
              <w:spacing w:after="40" w:before="40" w:line="288" w:lineRule="auto"/>
            </w:pPr>
            <w:r/>
            <w:r>
              <w:rPr>
                <w:rFonts w:ascii="Inter" w:hAnsi="Inter"/>
                <w:b w:val="0"/>
                <w:color w:val="1F2937"/>
                <w:sz w:val="19"/>
              </w:rPr>
              <w:t>Caption</w:t>
            </w:r>
          </w:p>
        </w:tc>
        <w:tc>
          <w:tcPr>
            <w:tcW w:type="dxa" w:w="3024"/>
          </w:tcPr>
          <w:p>
            <w:pPr>
              <w:spacing w:after="40" w:before="40" w:line="288" w:lineRule="auto"/>
            </w:pPr>
            <w:r/>
            <w:r>
              <w:rPr>
                <w:rFonts w:ascii="Inter" w:hAnsi="Inter"/>
                <w:b w:val="0"/>
                <w:color w:val="1F2937"/>
                <w:sz w:val="19"/>
              </w:rPr>
              <w:t>Caption</w:t>
            </w:r>
          </w:p>
        </w:tc>
        <w:tc>
          <w:tcPr>
            <w:tcW w:type="dxa" w:w="3024"/>
          </w:tcPr>
          <w:p>
            <w:pPr>
              <w:spacing w:after="40" w:before="40" w:line="288" w:lineRule="auto"/>
            </w:pPr>
            <w:r/>
            <w:r>
              <w:rPr>
                <w:rFonts w:ascii="Inter" w:hAnsi="Inter"/>
                <w:b w:val="0"/>
                <w:color w:val="1F2937"/>
                <w:sz w:val="19"/>
              </w:rPr>
              <w:t>The data source, always under the table</w:t>
            </w:r>
          </w:p>
        </w:tc>
      </w:tr>
    </w:tbl>
    <w:p>
      <w:pPr>
        <w:pStyle w:val="Caption"/>
      </w:pPr>
      <w:r>
        <w:t>Table 1. The caption goes under the table, not over it. Cite the source here.</w:t>
      </w:r>
    </w:p>
    <w:p>
      <w:pPr>
        <w:pStyle w:val="Heading2"/>
      </w:pPr>
      <w:r>
        <w:t>Legal notice</w:t>
      </w:r>
    </w:p>
    <w:p>
      <w:pPr>
        <w:pStyle w:val="PRIMEQLegal"/>
      </w:pPr>
      <w:r>
        <w:t>PRIME Q is a project. The entity does not exist in legal form and holds no permission from the Polish Financial Supervision Authority (KNF) to conduct regulated activity.</w:t>
      </w:r>
    </w:p>
    <w:p>
      <w:pPr>
        <w:pStyle w:val="PRIMEQLegal"/>
      </w:pPr>
      <w:r>
        <w:t>This document is for information only. It is not an offer, an invitation to treat, an investment recommendation or investment advice.</w:t>
      </w:r>
    </w:p>
    <w:p>
      <w:pPr>
        <w:pStyle w:val="PRIMEQLegal"/>
      </w:pPr>
      <w:r>
        <w:t>No historical or simulated performance is published. No figure in this document is a promise of a result.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417" w:bottom="1134" w:left="1417" w:header="68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nter">
    <w:charset w:val="00"/>
    <w:family w:val="swiss"/>
    <w:pitch w:val="variable"/>
    <w:embedRegular r:id="rId1" w:fontKey="{E7DB6200-95CA-4927-ACD2-EB61F88BCCC2}" w:subsetted="0"/>
    <w:embedBold r:id="rId2" w:fontKey="{35DCC01C-C109-4B10-8542-C8B582C2E698}" w:subsetted="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071" w:val="right"/>
      </w:tabs>
      <w:pBdr>
        <w:top w:val="single" w:sz="6" w:space="6" w:color="E5E7EB"/>
      </w:pBdr>
    </w:pPr>
    <w:r>
      <w:rPr>
        <w:rFonts w:ascii="Inter" w:hAnsi="Inter"/>
        <w:color w:val="6B7280"/>
        <w:sz w:val="16"/>
      </w:rPr>
      <w:t>Document name · Version · Date</w:t>
      <w:tab/>
    </w:r>
    <w:r>
      <w:rPr>
        <w:rFonts w:ascii="Inter" w:hAnsi="Inter"/>
        <w:color w:val="6B7280"/>
        <w:sz w:val="16"/>
      </w:rPr>
      <w:t xml:space="preserve">Page </w:t>
    </w:r>
    <w:r>
      <w:rPr>
        <w:color w:val="6B7280"/>
        <w:sz w:val="16"/>
      </w:rPr>
      <w:fldChar w:fldCharType="begin"/>
      <w:instrText xml:space="preserve"> PAGE </w:instrText>
      <w:fldChar w:fldCharType="end"/>
    </w:r>
    <w:r>
      <w:rPr>
        <w:rFonts w:ascii="Inter" w:hAnsi="Inter"/>
        <w:color w:val="6B7280"/>
        <w:sz w:val="16"/>
      </w:rPr>
      <w:t xml:space="preserve"> of </w:t>
    </w:r>
    <w:r>
      <w:rPr>
        <w:color w:val="6B7280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6" w:space="6" w:color="E5E7EB"/>
      </w:pBdr>
    </w:pPr>
    <w:r>
      <w:drawing>
        <wp:inline xmlns:a="http://schemas.openxmlformats.org/drawingml/2006/main" xmlns:pic="http://schemas.openxmlformats.org/drawingml/2006/picture">
          <wp:extent cx="1080000" cy="2349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ime-q-wordmark-navy-120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0000" cy="2349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01">
    <w:multiLevelType w:val="hybridMultilevel"/>
    <w:lvl w:ilvl="0">
      <w:start w:val="1"/>
      <w:numFmt w:val="bullet"/>
      <w:lvlText w:val="/"/>
      <w:lvlJc w:val="left"/>
      <w:pPr>
        <w:ind w:left="360" w:hanging="240"/>
      </w:pPr>
      <w:rPr>
        <w:rFonts w:ascii="Inter" w:hAnsi="Inter"/>
        <w:b w:val="1"/>
        <w:color w:val="E11D2E"/>
      </w:rPr>
    </w:lvl>
    <w:lvl w:ilvl="1">
      <w:start w:val="1"/>
      <w:numFmt w:val="bullet"/>
      <w:lvlText w:val="–"/>
      <w:lvlJc w:val="left"/>
      <w:pPr>
        <w:ind w:left="700" w:hanging="240"/>
      </w:pPr>
      <w:rPr>
        <w:rFonts w:ascii="Inter" w:hAnsi="Inter"/>
        <w:b w:val="0"/>
        <w:color w:val="6B7280"/>
      </w:rPr>
    </w:lvl>
    <w:lvl w:ilvl="2">
      <w:start w:val="1"/>
      <w:numFmt w:val="bullet"/>
      <w:lvlText w:val="–"/>
      <w:lvlJc w:val="left"/>
      <w:pPr>
        <w:ind w:left="1040" w:hanging="240"/>
      </w:pPr>
      <w:rPr>
        <w:rFonts w:ascii="Inter" w:hAnsi="Inter"/>
        <w:b w:val="0"/>
        <w:color w:val="6B7280"/>
      </w:rPr>
    </w:lvl>
  </w:abstractNum>
  <w:num w:numId="77">
    <w:abstractNumId w:val="9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 w:val="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48" w:lineRule="auto"/>
    </w:pPr>
    <w:rPr>
      <w:rFonts w:ascii="Inter" w:hAnsi="Inter" w:eastAsia="Inter" w:cs="Inter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520" w:after="160"/>
      <w:outlineLvl w:val="0"/>
      <w:pBdr>
        <w:bottom w:val="single" w:sz="6" w:space="6" w:color="E5E7EB"/>
      </w:pBdr>
    </w:pPr>
    <w:rPr>
      <w:rFonts w:asciiTheme="majorHAnsi" w:eastAsiaTheme="majorEastAsia" w:hAnsiTheme="majorHAnsi" w:cstheme="majorBidi" w:ascii="Inter" w:hAnsi="Inter"/>
      <w:b/>
      <w:bCs/>
      <w:color w:val="041E4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0" w:after="120"/>
      <w:outlineLvl w:val="1"/>
    </w:pPr>
    <w:rPr>
      <w:rFonts w:asciiTheme="majorHAnsi" w:eastAsiaTheme="majorEastAsia" w:hAnsiTheme="majorHAnsi" w:cstheme="majorBidi" w:ascii="Inter" w:hAnsi="Inter"/>
      <w:b/>
      <w:bCs/>
      <w:color w:val="041E42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80"/>
      <w:outlineLvl w:val="2"/>
    </w:pPr>
    <w:rPr>
      <w:rFonts w:asciiTheme="majorHAnsi" w:eastAsiaTheme="majorEastAsia" w:hAnsiTheme="majorHAnsi" w:cstheme="majorBidi" w:ascii="Inter" w:hAnsi="Inter"/>
      <w:b/>
      <w:bCs/>
      <w:color w:val="041E42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59" w:lineRule="auto" w:before="0"/>
      <w:contextualSpacing/>
    </w:pPr>
    <w:rPr>
      <w:rFonts w:asciiTheme="majorHAnsi" w:eastAsiaTheme="majorEastAsia" w:hAnsiTheme="majorHAnsi" w:cstheme="majorBidi" w:ascii="Inter" w:hAnsi="Inter"/>
      <w:b/>
      <w:color w:val="041E42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440"/>
    </w:pPr>
    <w:rPr>
      <w:rFonts w:asciiTheme="majorHAnsi" w:eastAsiaTheme="majorEastAsia" w:hAnsiTheme="majorHAnsi" w:cstheme="majorBidi" w:ascii="Inter" w:hAnsi="Inter"/>
      <w:b w:val="0"/>
      <w:i w:val="0"/>
      <w:iCs/>
      <w:color w:val="6B728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348" w:lineRule="auto"/>
      <w:contextualSpacing/>
      <w:numPr>
        <w:ilvl w:val="0"/>
        <w:numId w:val="77"/>
      </w:numPr>
    </w:pPr>
    <w:rPr>
      <w:rFonts w:ascii="Inter" w:hAnsi="Inter"/>
      <w:color w:val="1F2937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200" w:after="280"/>
      <w:ind w:left="283"/>
      <w:pBdr>
        <w:left w:val="single" w:sz="18" w:space="6" w:color="E11D2E"/>
      </w:pBdr>
    </w:pPr>
    <w:rPr>
      <w:rFonts w:ascii="Inter" w:hAnsi="Inter"/>
      <w:i w:val="0"/>
      <w:iCs/>
      <w:color w:val="041E42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before="120"/>
    </w:pPr>
    <w:rPr>
      <w:rFonts w:ascii="Inter" w:hAnsi="Inter"/>
      <w:b w:val="0"/>
      <w:bCs/>
      <w:i w:val="0"/>
      <w:color w:val="6B7280"/>
      <w:sz w:val="17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RIMEQLead">
    <w:name w:val="PRIME Q Lead"/>
    <w:basedOn w:val="Normal"/>
    <w:pPr>
      <w:spacing w:after="320"/>
    </w:pPr>
    <w:rPr>
      <w:color w:val="6B7280"/>
      <w:sz w:val="25"/>
    </w:rPr>
  </w:style>
  <w:style w:type="paragraph" w:customStyle="1" w:styleId="PRIMEQLegal">
    <w:name w:val="PRIME Q Legal"/>
    <w:basedOn w:val="Normal"/>
    <w:pPr>
      <w:spacing w:line="324" w:lineRule="auto" w:after="120"/>
    </w:pPr>
    <w:rPr>
      <w:color w:val="6B7280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Inter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Inter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